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FINANCE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safeguarding its assets and ensuring proper money management. Controls are intended to help detect accounting errors, prevent fraud and theft, and support those responsible for the organization's financial management.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Financial Restrictions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shall provide authorization for signatures on contracts, cheques, and orders for payment, receipt, deposit, or withdrawal of money, as well as access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securities.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employee authorized to purchase goods and/or services on behalf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must adhere to the procedures outlined in this policy.</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shall be responsible for reviewing and recommending to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any annual operating and capital budgets for approval.</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shall adopt annual operating and capital budgets.</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expense shall be incurred which is more than the authorization limits, unless the Board of Directors has approved it.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Authorization to Sign Cheques</w:t>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Cheques must be signed only following the authorization from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Following the cheques' preparation for supplier payment, cheques will be sealed and posted.</w:t>
      </w:r>
    </w:p>
    <w:p w:rsidR="00000000" w:rsidDel="00000000" w:rsidP="00000000" w:rsidRDefault="00000000" w:rsidRPr="00000000" w14:paraId="00000014">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Wherever possible,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complete reimbursement through electronic channels to ensure there is a trail for the funds.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Cash Disbursements</w:t>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authorized cheque signer will make disbursements only after the transaction has been reviewed and approved, even for a check with adequate supporting documentation, such as a purchase order and evidence of receipts for goods and services.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procedure for gathering and verifying documentation, etc., will be consistent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policies.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Receipts</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will determine and approve the appropriate reimbursable expenses.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reimbursement will be made for expenditures without adequate documentation including, but not limited to, the date, location, attendees, purpose, and description of how the activity advances the system.</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may impose additional restrictions at any time.</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Reimbursement</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All claims for reimbursement must be submitted within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days of being incurred to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as per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Travel and Reimbursement Policy.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Invoices</w:t>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maintain bank accounts with major financial institutions designated by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All funds received must be deposited consistently according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financial policies.</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Signing Authority</w:t>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will provide authorization to sign checks. </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Authorization to use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credit cards provided to an employee will be provided by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and used in conjunction with the limits previously established.</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payment made to the preparer or processor of payment must be pre-approved by someone other than the payee.</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purchases may be made on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fund accounts without prior approval.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Periodic Evaluation</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shall review reports and/or lists of payments regularly, alerting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to any discrepancies within 30 days of them occurring.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Credit Cards</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does not provide corporate credit cards to employees.</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A business credit card or a credit card may be used for business payments following authorization, as stated above.</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240" w:lineRule="auto"/>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3F">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40">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41">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eGH4eeEBe60tQeS9XgWHhr9wzg==">CgMxLjAyCGguZ2pkZ3hzOAByITFuU1oxaTYwMlRPem9WQ0hZbUxjWndyVEpOMTdwMTNuTw==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